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BB3D" w14:textId="4F67344A" w:rsidR="00163889" w:rsidRPr="00163889" w:rsidRDefault="00163889" w:rsidP="00163889">
      <w:r w:rsidRPr="00163889">
        <w:drawing>
          <wp:inline distT="0" distB="0" distL="0" distR="0" wp14:anchorId="49C62A48" wp14:editId="5250D98E">
            <wp:extent cx="14287500" cy="4076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E1CA2" w14:textId="1E9D3BE9" w:rsidR="00163889" w:rsidRPr="00163889" w:rsidRDefault="00163889" w:rsidP="00163889"/>
    <w:p w14:paraId="111010F2" w14:textId="3066C957" w:rsidR="00163889" w:rsidRPr="00163889" w:rsidRDefault="00163889" w:rsidP="00163889"/>
    <w:p w14:paraId="7246D5A2" w14:textId="227EAF8D" w:rsidR="00163889" w:rsidRPr="00163889" w:rsidRDefault="00163889" w:rsidP="00163889"/>
    <w:p w14:paraId="2A3BE225" w14:textId="77777777" w:rsidR="00163889" w:rsidRPr="00163889" w:rsidRDefault="00163889" w:rsidP="00163889">
      <w:pPr>
        <w:pStyle w:val="Titolo1"/>
        <w:spacing w:before="0" w:beforeAutospacing="0" w:after="0" w:afterAutospacing="0"/>
        <w:textAlignment w:val="baseline"/>
        <w:rPr>
          <w:rFonts w:ascii="Open Sans" w:hAnsi="Open Sans" w:cs="Open Sans"/>
          <w:b w:val="0"/>
          <w:bCs w:val="0"/>
          <w:color w:val="333333"/>
        </w:rPr>
      </w:pPr>
      <w:r>
        <w:tab/>
      </w:r>
      <w:r w:rsidRPr="00163889">
        <w:rPr>
          <w:rFonts w:ascii="Open Sans" w:hAnsi="Open Sans" w:cs="Open Sans"/>
          <w:b w:val="0"/>
          <w:bCs w:val="0"/>
          <w:color w:val="333333"/>
          <w:lang w:val="en-US"/>
        </w:rPr>
        <w:t xml:space="preserve">FAMILY. A Modern Musical Comedy gusto… </w:t>
      </w:r>
      <w:proofErr w:type="spellStart"/>
      <w:r w:rsidRPr="00163889">
        <w:rPr>
          <w:rFonts w:ascii="Open Sans" w:hAnsi="Open Sans" w:cs="Open Sans"/>
          <w:b w:val="0"/>
          <w:bCs w:val="0"/>
          <w:color w:val="333333"/>
        </w:rPr>
        <w:t>Cynar</w:t>
      </w:r>
      <w:proofErr w:type="spellEnd"/>
      <w:r w:rsidRPr="00163889">
        <w:rPr>
          <w:rFonts w:ascii="Open Sans" w:hAnsi="Open Sans" w:cs="Open Sans"/>
          <w:b w:val="0"/>
          <w:bCs w:val="0"/>
          <w:color w:val="333333"/>
        </w:rPr>
        <w:t>!</w:t>
      </w:r>
    </w:p>
    <w:p w14:paraId="565F7FA7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  <w:hyperlink r:id="rId5" w:tooltip="19:27" w:history="1">
        <w:r w:rsidRPr="00163889">
          <w:rPr>
            <w:rFonts w:ascii="inherit" w:eastAsia="Times New Roman" w:hAnsi="inherit" w:cs="Open Sans"/>
            <w:color w:val="888888"/>
            <w:sz w:val="18"/>
            <w:szCs w:val="18"/>
            <w:bdr w:val="none" w:sz="0" w:space="0" w:color="auto" w:frame="1"/>
            <w:lang w:eastAsia="it-IT"/>
          </w:rPr>
          <w:t> 26 Gennaio 2023</w:t>
        </w:r>
      </w:hyperlink>
      <w:r w:rsidRPr="00163889">
        <w:rPr>
          <w:rFonts w:ascii="Open Sans" w:eastAsia="Times New Roman" w:hAnsi="Open Sans" w:cs="Open Sans"/>
          <w:color w:val="444444"/>
          <w:lang w:eastAsia="it-IT"/>
        </w:rPr>
        <w:t> </w:t>
      </w:r>
      <w:r w:rsidRPr="00163889">
        <w:rPr>
          <w:rFonts w:ascii="inherit" w:eastAsia="Times New Roman" w:hAnsi="inherit" w:cs="Open Sans"/>
          <w:color w:val="444444"/>
          <w:bdr w:val="none" w:sz="0" w:space="0" w:color="auto" w:frame="1"/>
          <w:lang w:eastAsia="it-IT"/>
        </w:rPr>
        <w:t> </w:t>
      </w:r>
      <w:proofErr w:type="spellStart"/>
      <w:r w:rsidRPr="00163889">
        <w:rPr>
          <w:rFonts w:ascii="inherit" w:eastAsia="Times New Roman" w:hAnsi="inherit" w:cs="Open Sans"/>
          <w:color w:val="444444"/>
          <w:bdr w:val="none" w:sz="0" w:space="0" w:color="auto" w:frame="1"/>
          <w:lang w:eastAsia="it-IT"/>
        </w:rPr>
        <w:fldChar w:fldCharType="begin"/>
      </w:r>
      <w:r w:rsidRPr="00163889">
        <w:rPr>
          <w:rFonts w:ascii="inherit" w:eastAsia="Times New Roman" w:hAnsi="inherit" w:cs="Open Sans"/>
          <w:color w:val="444444"/>
          <w:bdr w:val="none" w:sz="0" w:space="0" w:color="auto" w:frame="1"/>
          <w:lang w:eastAsia="it-IT"/>
        </w:rPr>
        <w:instrText xml:space="preserve"> HYPERLINK "http://www.platealmente.it/author/francesca-romana-lino/" \o "FrancescaR Lino" </w:instrText>
      </w:r>
      <w:r w:rsidRPr="00163889">
        <w:rPr>
          <w:rFonts w:ascii="inherit" w:eastAsia="Times New Roman" w:hAnsi="inherit" w:cs="Open Sans"/>
          <w:color w:val="444444"/>
          <w:bdr w:val="none" w:sz="0" w:space="0" w:color="auto" w:frame="1"/>
          <w:lang w:eastAsia="it-IT"/>
        </w:rPr>
        <w:fldChar w:fldCharType="separate"/>
      </w:r>
      <w:r w:rsidRPr="00163889">
        <w:rPr>
          <w:rFonts w:ascii="inherit" w:eastAsia="Times New Roman" w:hAnsi="inherit" w:cs="Open Sans"/>
          <w:color w:val="888888"/>
          <w:sz w:val="18"/>
          <w:szCs w:val="18"/>
          <w:bdr w:val="none" w:sz="0" w:space="0" w:color="auto" w:frame="1"/>
          <w:lang w:eastAsia="it-IT"/>
        </w:rPr>
        <w:t>FrancescaR</w:t>
      </w:r>
      <w:proofErr w:type="spellEnd"/>
      <w:r w:rsidRPr="00163889">
        <w:rPr>
          <w:rFonts w:ascii="inherit" w:eastAsia="Times New Roman" w:hAnsi="inherit" w:cs="Open Sans"/>
          <w:color w:val="888888"/>
          <w:sz w:val="18"/>
          <w:szCs w:val="18"/>
          <w:bdr w:val="none" w:sz="0" w:space="0" w:color="auto" w:frame="1"/>
          <w:lang w:eastAsia="it-IT"/>
        </w:rPr>
        <w:t xml:space="preserve"> Lino</w:t>
      </w:r>
      <w:r w:rsidRPr="00163889">
        <w:rPr>
          <w:rFonts w:ascii="inherit" w:eastAsia="Times New Roman" w:hAnsi="inherit" w:cs="Open Sans"/>
          <w:color w:val="444444"/>
          <w:bdr w:val="none" w:sz="0" w:space="0" w:color="auto" w:frame="1"/>
          <w:lang w:eastAsia="it-IT"/>
        </w:rPr>
        <w:fldChar w:fldCharType="end"/>
      </w:r>
    </w:p>
    <w:p w14:paraId="28B11E2F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In scena </w:t>
      </w: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al </w:t>
      </w:r>
      <w:hyperlink r:id="rId6" w:tgtFrame="_blank" w:history="1"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>Teatro Fontana</w:t>
        </w:r>
      </w:hyperlink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 fino al 29 gennaio 2023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, </w:t>
      </w:r>
      <w:hyperlink r:id="rId7" w:tgtFrame="_blank" w:history="1"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 xml:space="preserve">“FAMILY. A </w:t>
        </w:r>
        <w:proofErr w:type="spellStart"/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>Modern</w:t>
        </w:r>
        <w:proofErr w:type="spellEnd"/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 xml:space="preserve"> Musical Comedy” </w:t>
        </w:r>
      </w:hyperlink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si pone come </w:t>
      </w: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prosecuzione ideale di quel </w:t>
      </w:r>
      <w:hyperlink r:id="rId8" w:tgtFrame="_blank" w:history="1"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 xml:space="preserve">“SUPERMARKET. A </w:t>
        </w:r>
        <w:proofErr w:type="spellStart"/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>Modern</w:t>
        </w:r>
        <w:proofErr w:type="spellEnd"/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 xml:space="preserve"> Musical </w:t>
        </w:r>
        <w:proofErr w:type="spellStart"/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>Tragedy</w:t>
        </w:r>
        <w:proofErr w:type="spellEnd"/>
        <w:r w:rsidRPr="00163889">
          <w:rPr>
            <w:rFonts w:ascii="inherit" w:eastAsia="Times New Roman" w:hAnsi="inherit" w:cs="Open Sans"/>
            <w:b/>
            <w:bCs/>
            <w:color w:val="C40000"/>
            <w:sz w:val="23"/>
            <w:szCs w:val="23"/>
            <w:bdr w:val="none" w:sz="0" w:space="0" w:color="auto" w:frame="1"/>
            <w:lang w:eastAsia="it-IT"/>
          </w:rPr>
          <w:t>” </w:t>
        </w:r>
      </w:hyperlink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 xml:space="preserve">, ripresa di chiusura 2022. Stesso autore di testo e musiche (Gipo Gurrado) e medesimi anche alcuni degli attori (da Elena </w:t>
      </w:r>
      <w:proofErr w:type="spellStart"/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Scalet</w:t>
      </w:r>
      <w:proofErr w:type="spellEnd"/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 xml:space="preserve"> a Roberto Marinelli e Andrea Lietti), nonché l’ideatrice di quelle coreografie e movimenti scenici (Maja </w:t>
      </w:r>
      <w:proofErr w:type="spellStart"/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Delak</w:t>
      </w:r>
      <w:proofErr w:type="spellEnd"/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), che qui giocano un ruolo preponderante. Analogo, infine, l’impianto: un recitar cantando, che non cede mai il passo alla parola solo recitata.</w:t>
      </w:r>
    </w:p>
    <w:p w14:paraId="2DDFB5DC" w14:textId="77777777" w:rsidR="00163889" w:rsidRPr="00163889" w:rsidRDefault="00163889" w:rsidP="00163889">
      <w:pPr>
        <w:shd w:val="clear" w:color="auto" w:fill="FFFFFF"/>
        <w:textAlignment w:val="baseline"/>
        <w:outlineLvl w:val="2"/>
        <w:rPr>
          <w:rFonts w:ascii="Open Sans" w:eastAsia="Times New Roman" w:hAnsi="Open Sans" w:cs="Open Sans"/>
          <w:color w:val="333333"/>
          <w:sz w:val="51"/>
          <w:szCs w:val="51"/>
          <w:lang w:eastAsia="it-IT"/>
        </w:rPr>
      </w:pPr>
      <w:r w:rsidRPr="00163889">
        <w:rPr>
          <w:rFonts w:ascii="inherit" w:eastAsia="Times New Roman" w:hAnsi="inherit" w:cs="Open Sans"/>
          <w:color w:val="000000"/>
          <w:sz w:val="51"/>
          <w:szCs w:val="51"/>
          <w:bdr w:val="none" w:sz="0" w:space="0" w:color="auto" w:frame="1"/>
          <w:lang w:eastAsia="it-IT"/>
        </w:rPr>
        <w:t>DALLA TRAGEDIA ALLA COMMEDIA?</w:t>
      </w:r>
    </w:p>
    <w:p w14:paraId="7A508904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Un po’ “Camera Café”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 (per quella graffiante frontalità al pubblico, nonostante la plateale allusione al fatto che l’azione si giochi alle spalle), </w:t>
      </w: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un po’ “</w:t>
      </w:r>
      <w:proofErr w:type="spellStart"/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Carnage</w:t>
      </w:r>
      <w:proofErr w:type="spellEnd"/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”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 (per quell’ostentata ferocia dapprima trattenuta in sorrisi via via sempre più digrignati), </w:t>
      </w: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“Supermarket” lanciava caustici strali contro certe dinamiche sociali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. Sempre sul fil di lana di un grottesco esilarante intreccio fra competitività e convenzioni, lì, l’</w:t>
      </w:r>
      <w:proofErr w:type="spellStart"/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hobbessiano</w:t>
      </w:r>
      <w:proofErr w:type="spellEnd"/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 xml:space="preserve"> binomio sicurezza-libertà finiva col cedere il passo al ben più prosaico accumulo-quieto vivere; né mancava di ruggire, di tanto in tanto, il Leviatano, che è in ciascuno di noi </w:t>
      </w:r>
      <w:r w:rsidRPr="00163889">
        <w:rPr>
          <w:rFonts w:ascii="inherit" w:eastAsia="Times New Roman" w:hAnsi="inherit" w:cs="Open Sans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 xml:space="preserve">homo </w:t>
      </w:r>
      <w:proofErr w:type="spellStart"/>
      <w:r w:rsidRPr="00163889">
        <w:rPr>
          <w:rFonts w:ascii="inherit" w:eastAsia="Times New Roman" w:hAnsi="inherit" w:cs="Open Sans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homini</w:t>
      </w:r>
      <w:proofErr w:type="spellEnd"/>
      <w:r w:rsidRPr="00163889">
        <w:rPr>
          <w:rFonts w:ascii="inherit" w:eastAsia="Times New Roman" w:hAnsi="inherit" w:cs="Open Sans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 xml:space="preserve"> lupus.</w:t>
      </w:r>
    </w:p>
    <w:p w14:paraId="7EA56552" w14:textId="6C65D756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  <w:r w:rsidRPr="00163889">
        <w:rPr>
          <w:rFonts w:ascii="inherit" w:eastAsia="Times New Roman" w:hAnsi="inherit" w:cs="Open Sans"/>
          <w:noProof/>
          <w:color w:val="C40000"/>
          <w:bdr w:val="none" w:sz="0" w:space="0" w:color="auto" w:frame="1"/>
          <w:lang w:eastAsia="it-IT"/>
        </w:rPr>
        <w:drawing>
          <wp:inline distT="0" distB="0" distL="0" distR="0" wp14:anchorId="31AD5383" wp14:editId="43A357A3">
            <wp:extent cx="10157460" cy="7611745"/>
            <wp:effectExtent l="0" t="0" r="0" b="0"/>
            <wp:docPr id="3" name="Immagine 3" descr="supermarket">
              <a:hlinkClick xmlns:a="http://schemas.openxmlformats.org/drawingml/2006/main" r:id="rId9" tooltip="&quot;&quot;SUPERMARKET. A Modern Musical Tragedy&quot; al Teatr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market">
                      <a:hlinkClick r:id="rId9" tooltip="&quot;&quot;SUPERMARKET. A Modern Musical Tragedy&quot; al Teatr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460" cy="761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889">
        <w:rPr>
          <w:rFonts w:ascii="Open Sans" w:eastAsia="Times New Roman" w:hAnsi="Open Sans" w:cs="Open Sans"/>
          <w:color w:val="444444"/>
          <w:lang w:eastAsia="it-IT"/>
        </w:rPr>
        <w:t>“SUPERMARKET.</w:t>
      </w:r>
      <w:r w:rsidRPr="00163889">
        <w:rPr>
          <w:rFonts w:ascii="Open Sans" w:eastAsia="Times New Roman" w:hAnsi="Open Sans" w:cs="Open Sans"/>
          <w:color w:val="444444"/>
          <w:lang w:eastAsia="it-IT"/>
        </w:rPr>
        <w:br/>
        <w:t xml:space="preserve">A </w:t>
      </w:r>
      <w:proofErr w:type="spellStart"/>
      <w:r w:rsidRPr="00163889">
        <w:rPr>
          <w:rFonts w:ascii="Open Sans" w:eastAsia="Times New Roman" w:hAnsi="Open Sans" w:cs="Open Sans"/>
          <w:color w:val="444444"/>
          <w:lang w:eastAsia="it-IT"/>
        </w:rPr>
        <w:t>Modern</w:t>
      </w:r>
      <w:proofErr w:type="spellEnd"/>
      <w:r w:rsidRPr="00163889">
        <w:rPr>
          <w:rFonts w:ascii="Open Sans" w:eastAsia="Times New Roman" w:hAnsi="Open Sans" w:cs="Open Sans"/>
          <w:color w:val="444444"/>
          <w:lang w:eastAsia="it-IT"/>
        </w:rPr>
        <w:t xml:space="preserve"> Musical </w:t>
      </w:r>
      <w:proofErr w:type="spellStart"/>
      <w:r w:rsidRPr="00163889">
        <w:rPr>
          <w:rFonts w:ascii="Open Sans" w:eastAsia="Times New Roman" w:hAnsi="Open Sans" w:cs="Open Sans"/>
          <w:color w:val="444444"/>
          <w:lang w:eastAsia="it-IT"/>
        </w:rPr>
        <w:t>Tragedy</w:t>
      </w:r>
      <w:proofErr w:type="spellEnd"/>
      <w:r w:rsidRPr="00163889">
        <w:rPr>
          <w:rFonts w:ascii="Open Sans" w:eastAsia="Times New Roman" w:hAnsi="Open Sans" w:cs="Open Sans"/>
          <w:color w:val="444444"/>
          <w:lang w:eastAsia="it-IT"/>
        </w:rPr>
        <w:t>” al Teatro</w:t>
      </w:r>
    </w:p>
    <w:p w14:paraId="2A2CF932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Di quel mood, “Family” acciuffa la modalità, fondamentalmente strumentale, delle relazioni </w:t>
      </w:r>
      <w:r w:rsidRPr="00163889">
        <w:rPr>
          <w:rFonts w:ascii="inherit" w:eastAsia="Times New Roman" w:hAnsi="inherit" w:cs="Open Sans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à-</w:t>
      </w:r>
      <w:proofErr w:type="spellStart"/>
      <w:r w:rsidRPr="00163889">
        <w:rPr>
          <w:rFonts w:ascii="inherit" w:eastAsia="Times New Roman" w:hAnsi="inherit" w:cs="Open Sans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deux</w:t>
      </w:r>
      <w:proofErr w:type="spellEnd"/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.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È come se, nel rapporto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io-tu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 l’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altro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interessi</w:t>
      </w:r>
      <w:r w:rsidRPr="00163889"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  <w:t> 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solo nella misura, in cui si riveli capace di legittimare quel singolo e prepotente</w:t>
      </w:r>
      <w:r w:rsidRPr="00163889">
        <w:rPr>
          <w:rFonts w:ascii="inherit" w:eastAsia="Times New Roman" w:hAnsi="inherit" w:cs="Open Sans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 esser-ci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 individuale, che sono </w:t>
      </w:r>
      <w:r w:rsidRPr="00163889">
        <w:rPr>
          <w:rFonts w:ascii="inherit" w:eastAsia="Times New Roman" w:hAnsi="inherit" w:cs="Open Sans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io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. E quale contesto più indicato per raccontarlo, se non la famiglia?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È qui, infatti, che, in barba all’edulcorata narrazione condivisa, favoleggiante incondizionati amore, conforto, comprensione, pace e ristoro, chissà quanti in realtà si sentono invece più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intrappolati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o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incompresi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che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felici.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 Del resto è qui, che l’inconsolabile solitudine ontologica, che tutti siamo, sperimenta per la prima volta l’insufficienza/inconsistenza di questo preteso riconoscimento – con la conseguente ferita narcisistica, che un tutti, ciascuno a modo suo, un po’ ci </w:t>
      </w:r>
      <w:proofErr w:type="gramStart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portiamo  dietro</w:t>
      </w:r>
      <w:proofErr w:type="gram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.</w:t>
      </w:r>
    </w:p>
    <w:p w14:paraId="1A60B720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In “Family” tutto questo arriva leggero e sfumato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mediato dal graffiante ripetersi dei luoghi comuni – dal campo minato dello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“Stasera</w:t>
      </w:r>
      <w:r w:rsidRPr="00163889"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  <w:t>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andiamo dai miei/tuoi”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all’immancabile materno proclama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“Se non ci fossi io…”.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Così si abbraccia il vasto pubblico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: da un lato cullandolo coi confortanti cliché della comicità dal vivo, dall’altro, come la sempre crescente offerta di stand up comedy dimostra, solleticandolo verso quella riflessione/consapevolezza condivisa, che solo l’ironia e l’autoironia sanno far planare in maniera così quasi inconsapevole.</w:t>
      </w:r>
    </w:p>
    <w:p w14:paraId="0B5E16CD" w14:textId="77777777" w:rsidR="00163889" w:rsidRPr="00163889" w:rsidRDefault="00163889" w:rsidP="00163889">
      <w:pPr>
        <w:shd w:val="clear" w:color="auto" w:fill="FFFFFF"/>
        <w:textAlignment w:val="baseline"/>
        <w:outlineLvl w:val="2"/>
        <w:rPr>
          <w:rFonts w:ascii="Open Sans" w:eastAsia="Times New Roman" w:hAnsi="Open Sans" w:cs="Open Sans"/>
          <w:color w:val="333333"/>
          <w:sz w:val="51"/>
          <w:szCs w:val="51"/>
          <w:lang w:eastAsia="it-IT"/>
        </w:rPr>
      </w:pPr>
      <w:r w:rsidRPr="00163889">
        <w:rPr>
          <w:rFonts w:ascii="inherit" w:eastAsia="Times New Roman" w:hAnsi="inherit" w:cs="Open Sans"/>
          <w:color w:val="000000"/>
          <w:sz w:val="51"/>
          <w:szCs w:val="51"/>
          <w:bdr w:val="none" w:sz="0" w:space="0" w:color="auto" w:frame="1"/>
          <w:lang w:eastAsia="it-IT"/>
        </w:rPr>
        <w:t>UNA GALLERIA DI STEREOTIPI</w:t>
      </w:r>
    </w:p>
    <w:p w14:paraId="339D7796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Come mostra bene lo stesso video promozionale, </w:t>
      </w: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lo spettacolo non indugia in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 </w:t>
      </w:r>
      <w:r w:rsidRPr="00163889">
        <w:rPr>
          <w:rFonts w:ascii="inherit" w:eastAsia="Times New Roman" w:hAnsi="inherit" w:cs="Open Sans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nessun intento sociologico o drammatico; al contrario, si pone come una galleria di personaggi quasi bidimensionali, la cui assenza di profondità ben si presta al transfert proiettivo.</w:t>
      </w:r>
      <w:r w:rsidRPr="00163889">
        <w:rPr>
          <w:rFonts w:ascii="inherit" w:eastAsia="Times New Roman" w:hAnsi="inherit" w:cs="Open Sans"/>
          <w:color w:val="000000"/>
          <w:sz w:val="23"/>
          <w:szCs w:val="23"/>
          <w:bdr w:val="none" w:sz="0" w:space="0" w:color="auto" w:frame="1"/>
          <w:lang w:eastAsia="it-IT"/>
        </w:rPr>
        <w:t> Ciò consente a ciascuno di riconoscersi in quel vezzo o in quello squarcio di verità, che, a tratti, riesce perfino a stracciare il velo di Maia, facendoci sciogliere fino alle lacrime.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È l’amarezza del tempo che passa, della perduta gioventù, degli errori, a cui non c’è più scampo e che spesso travalicano nell’imprinting fra le generazioni. È l’accorgersene sempre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dopo,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quando, a quel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logorio della vita moderna –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si canta,</w:t>
      </w:r>
      <w:r w:rsidRPr="00163889">
        <w:rPr>
          <w:rFonts w:ascii="inherit" w:eastAsia="Times New Roman" w:hAnsi="inherit" w:cs="Open Sans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ammiccando, forse, a una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réclame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d’annata di un allora notissimo amaro -, non c’è rimedio. È l’impressione che quando si era giovani ci fossero più nuvole – o forse solo la disincantata constatazione che, invecchiando, non si alza più il naso al cielo.</w:t>
      </w:r>
    </w:p>
    <w:p w14:paraId="3B01896A" w14:textId="77777777" w:rsidR="00163889" w:rsidRPr="00163889" w:rsidRDefault="00163889" w:rsidP="00163889">
      <w:pPr>
        <w:shd w:val="clear" w:color="auto" w:fill="FFFFFF"/>
        <w:textAlignment w:val="baseline"/>
        <w:outlineLvl w:val="2"/>
        <w:rPr>
          <w:rFonts w:ascii="Open Sans" w:eastAsia="Times New Roman" w:hAnsi="Open Sans" w:cs="Open Sans"/>
          <w:color w:val="333333"/>
          <w:sz w:val="51"/>
          <w:szCs w:val="51"/>
          <w:lang w:eastAsia="it-IT"/>
        </w:rPr>
      </w:pPr>
      <w:r w:rsidRPr="00163889">
        <w:rPr>
          <w:rFonts w:ascii="Times New Roman" w:eastAsia="Times New Roman" w:hAnsi="Times New Roman" w:cs="Times New Roman"/>
          <w:color w:val="000000"/>
          <w:sz w:val="51"/>
          <w:szCs w:val="51"/>
          <w:bdr w:val="none" w:sz="0" w:space="0" w:color="auto" w:frame="1"/>
          <w:lang w:eastAsia="it-IT"/>
        </w:rPr>
        <w:t>PROTAGONISTI E COMPRIMARI</w:t>
      </w:r>
    </w:p>
    <w:p w14:paraId="45016BC4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Questo, in fondo, nell’ininterrotto rimpallo fra genitori e figli, fidanzati, dinamiche e luoghi così comuni, che non è possibile non sorriderne, tanto ci risultano nostri. E poi quei personaggi </w:t>
      </w:r>
      <w:r w:rsidRPr="00163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altri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di cui, per esplicita richiesta dell’autore Gipo Gurrado, non è ci è consentito dire di più… peccato.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 xml:space="preserve">Interpretati da Roberto Marinelli e Paola </w:t>
      </w:r>
      <w:proofErr w:type="spellStart"/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Tintinelli</w:t>
      </w:r>
      <w:proofErr w:type="spellEnd"/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, sono loro, in fondo, le voci narranti e quegli elementi a loro modo </w:t>
      </w:r>
      <w:r w:rsidRPr="00163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silenti</w:t>
      </w:r>
      <w:r w:rsidRPr="0016388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, attorno a cui si </w:t>
      </w:r>
      <w:r w:rsidRPr="00163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solve et coagula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l’incerta alchimia dei giorni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uguali ai giorni. Loro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sono il </w:t>
      </w:r>
      <w:r w:rsidRPr="00163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coro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a cui è affidato lo sberleffo, ma anche il consiglio, la riflessione amara o la libera espressione della celia; ed è fra loro che avviene il passaggio di testimone, a occupare quella poltrona a centro palco/centro vita, nonostante tutto.</w:t>
      </w:r>
    </w:p>
    <w:p w14:paraId="62902A3F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Solo a loro è concessa quella </w:t>
      </w:r>
      <w:r w:rsidRPr="00163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libertà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, deliberatamente negata invece agli altri personaggi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ingabbiati nei loro ruoli sociali. Ecco perché è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 xml:space="preserve"> meravigliosa Paola </w:t>
      </w:r>
      <w:proofErr w:type="spellStart"/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Tintinelli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! Liberata e libera, nella sua consueta generosissima nota onirica, la sua prossemica allude, pur senza svelare: una partitura fisica dalla coerenza quasi etologica e dalla poeticità felliniana.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Un po’ più ingessato Martinelli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 – vincolato, a </w:t>
      </w:r>
      <w:proofErr w:type="spellStart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onor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 del vero, anche dall’asetticità del ruolo -, che non manca però di lasciarsi andare come nello stacchetto a coreografia dell’ennesimo delirio della madre (Elena </w:t>
      </w:r>
      <w:proofErr w:type="spellStart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Scalet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), creando un cortocircuito davvero esilarante.</w:t>
      </w:r>
    </w:p>
    <w:p w14:paraId="4FB1B03E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 xml:space="preserve">Fra gli altri personaggi, la cifra di una gestualità più esasperata è giustamente cavalcata da Elena </w:t>
      </w:r>
      <w:proofErr w:type="spellStart"/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Scalet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. Madre di mezz’età </w:t>
      </w:r>
      <w:r w:rsidRPr="00163889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m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oderna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ma non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contemporanea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 (come se il tempo si fosse cristallizzato a qualche decennio fa), sembra fagocitare tutto e tutti con la sua sorda ansia di accudimento – che, come spesso capita, è la sola maniera per sentirsi utile ergo viva. Accanto a lei, come da copione, l’inascoltato </w:t>
      </w:r>
      <w:proofErr w:type="spellStart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agé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 marito-ombra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Marco Rizzo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i figli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Nicola Russo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Andrea Lietti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e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Ilaria Longo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(ciascuno con un momento di disvelante verità, prima di rindossare la maschera sociale), in duetto col fidanzato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 xml:space="preserve">Giovanni </w:t>
      </w:r>
      <w:proofErr w:type="spellStart"/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Longhin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– a completare il campionario delle micro nevrosi, che non possono mancare in ogni famiglia che si rispetti.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Tutti affiatatissimi e in perfetta partitura, gli attori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nell’ininterrotta movimentazione di spazio, coreografie, ritmo e tracce musicali di Gipo Gurrado, che si ripetono in un mood dall’andamento ora cadenzato ed ora giocoso fino al pizzicato nostalgico del finale.</w:t>
      </w:r>
    </w:p>
    <w:p w14:paraId="6EC30FF0" w14:textId="77777777" w:rsidR="00163889" w:rsidRPr="00163889" w:rsidRDefault="00163889" w:rsidP="00163889">
      <w:pPr>
        <w:shd w:val="clear" w:color="auto" w:fill="FFFFFF"/>
        <w:textAlignment w:val="baseline"/>
        <w:outlineLvl w:val="2"/>
        <w:rPr>
          <w:rFonts w:ascii="Open Sans" w:eastAsia="Times New Roman" w:hAnsi="Open Sans" w:cs="Open Sans"/>
          <w:color w:val="333333"/>
          <w:sz w:val="51"/>
          <w:szCs w:val="51"/>
          <w:lang w:eastAsia="it-IT"/>
        </w:rPr>
      </w:pPr>
      <w:r w:rsidRPr="00163889">
        <w:rPr>
          <w:rFonts w:ascii="Times New Roman" w:eastAsia="Times New Roman" w:hAnsi="Times New Roman" w:cs="Times New Roman"/>
          <w:color w:val="000000"/>
          <w:sz w:val="51"/>
          <w:szCs w:val="51"/>
          <w:bdr w:val="none" w:sz="0" w:space="0" w:color="auto" w:frame="1"/>
          <w:lang w:eastAsia="it-IT"/>
        </w:rPr>
        <w:t>CONSIDERAZIONI CONCLUSIVE</w:t>
      </w:r>
    </w:p>
    <w:p w14:paraId="4C476D16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Forse un po’ di “corpo” in più non avrebbe guastato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 – mi vengono in mente certe scene corali con una di </w:t>
      </w:r>
      <w:proofErr w:type="spellStart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Woopi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 Goldberg dalla fisicità esasperata e </w:t>
      </w:r>
      <w:proofErr w:type="gramStart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trascinante  -</w:t>
      </w:r>
      <w:proofErr w:type="gram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tanto più in un </w:t>
      </w:r>
      <w:r w:rsidRPr="001638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it-IT"/>
        </w:rPr>
        <w:t>Musical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dichiarato, il cui graffio grottesco credo ne avrebbe solo beneficiato.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A parte questo – e la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sinceramente inspiegabile complicazione del costruire/decostruire spazi domestici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 con un esito onestamente trascurabile -,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di certo resta uno spettacolo godibile, ben recitato e capace d’intrattenere e richiamare pubblico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, nonostante un plot scarno e una drammaturgia intenzionalmente priva di ambizioni.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Merito quindi a chi sa farlo vivere nella generosità dell’azione scenica. 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A più forte ragione, </w:t>
      </w:r>
      <w:r w:rsidRPr="0016388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peccato che il puntiglio di non voler far sapere quel che viene svelato già con la prima replica</w:t>
      </w:r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, blindi la possibilità di scendere nei dettagli, restituendo ancora maggior </w:t>
      </w:r>
      <w:proofErr w:type="spellStart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>riconoscumento</w:t>
      </w:r>
      <w:proofErr w:type="spellEnd"/>
      <w:r w:rsidRPr="0016388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it-IT"/>
        </w:rPr>
        <w:t xml:space="preserve"> a chi si prodiga, sul palco, per dar lustro allo spettacolo. I segreti di pulcinella son come neve al sole: nessuno potrà impedire al pubblico di raccontare quanto ha visto, con la dovizia di particolari che desidera.</w:t>
      </w:r>
    </w:p>
    <w:p w14:paraId="7ED43993" w14:textId="77777777" w:rsid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  <w:r w:rsidRPr="00163889">
        <w:rPr>
          <w:rFonts w:ascii="inherit" w:eastAsia="Times New Roman" w:hAnsi="inherit" w:cs="Open Sans"/>
          <w:noProof/>
          <w:color w:val="C40000"/>
          <w:bdr w:val="none" w:sz="0" w:space="0" w:color="auto" w:frame="1"/>
          <w:lang w:eastAsia="it-IT"/>
        </w:rPr>
        <w:drawing>
          <wp:inline distT="0" distB="0" distL="0" distR="0" wp14:anchorId="61699311" wp14:editId="722E639A">
            <wp:extent cx="10280650" cy="6870065"/>
            <wp:effectExtent l="0" t="0" r="6350" b="635"/>
            <wp:docPr id="2" name="Immagine 2" descr="TINTINELLI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NTINELLI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0" cy="687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9A66" w14:textId="77777777" w:rsid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</w:p>
    <w:p w14:paraId="6B30CB6B" w14:textId="2EB1A8C0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lang w:eastAsia="it-IT"/>
        </w:rPr>
      </w:pPr>
      <w:r w:rsidRPr="00163889">
        <w:rPr>
          <w:rFonts w:ascii="Open Sans" w:eastAsia="Times New Roman" w:hAnsi="Open Sans" w:cs="Open Sans"/>
          <w:color w:val="444444"/>
          <w:lang w:eastAsia="it-IT"/>
        </w:rPr>
        <w:t xml:space="preserve">Paola </w:t>
      </w:r>
      <w:proofErr w:type="spellStart"/>
      <w:r w:rsidRPr="00163889">
        <w:rPr>
          <w:rFonts w:ascii="Open Sans" w:eastAsia="Times New Roman" w:hAnsi="Open Sans" w:cs="Open Sans"/>
          <w:color w:val="444444"/>
          <w:lang w:eastAsia="it-IT"/>
        </w:rPr>
        <w:t>Tintinelli</w:t>
      </w:r>
      <w:proofErr w:type="spellEnd"/>
    </w:p>
    <w:p w14:paraId="49F8AD53" w14:textId="77777777" w:rsidR="00163889" w:rsidRPr="00163889" w:rsidRDefault="00163889" w:rsidP="00163889">
      <w:pPr>
        <w:shd w:val="clear" w:color="auto" w:fill="FFFFFF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it-IT"/>
        </w:rPr>
      </w:pPr>
      <w:r w:rsidRPr="0016388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it-IT"/>
        </w:rPr>
        <w:t>Del resto, se il più che legittimo auspicio di uno spettacolo è circuitare, in un men che non si dica… tutti sapranno.</w:t>
      </w:r>
    </w:p>
    <w:p w14:paraId="712165E6" w14:textId="641E20E4" w:rsidR="00163889" w:rsidRPr="00163889" w:rsidRDefault="00163889" w:rsidP="00163889">
      <w:pPr>
        <w:tabs>
          <w:tab w:val="left" w:pos="7589"/>
        </w:tabs>
      </w:pPr>
    </w:p>
    <w:sectPr w:rsidR="00163889" w:rsidRPr="00163889" w:rsidSect="009476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89"/>
    <w:rsid w:val="00163889"/>
    <w:rsid w:val="0087144C"/>
    <w:rsid w:val="009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9BF677"/>
  <w15:chartTrackingRefBased/>
  <w15:docId w15:val="{2476808D-6DCA-7548-A0D2-3A018FC3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6388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638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388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6388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posted-on">
    <w:name w:val="posted-on"/>
    <w:basedOn w:val="Carpredefinitoparagrafo"/>
    <w:rsid w:val="00163889"/>
  </w:style>
  <w:style w:type="character" w:styleId="Collegamentoipertestuale">
    <w:name w:val="Hyperlink"/>
    <w:basedOn w:val="Carpredefinitoparagrafo"/>
    <w:uiPriority w:val="99"/>
    <w:semiHidden/>
    <w:unhideWhenUsed/>
    <w:rsid w:val="00163889"/>
    <w:rPr>
      <w:color w:val="0000FF"/>
      <w:u w:val="single"/>
    </w:rPr>
  </w:style>
  <w:style w:type="character" w:customStyle="1" w:styleId="author">
    <w:name w:val="author"/>
    <w:basedOn w:val="Carpredefinitoparagrafo"/>
    <w:rsid w:val="00163889"/>
  </w:style>
  <w:style w:type="paragraph" w:styleId="NormaleWeb">
    <w:name w:val="Normal (Web)"/>
    <w:basedOn w:val="Normale"/>
    <w:uiPriority w:val="99"/>
    <w:semiHidden/>
    <w:unhideWhenUsed/>
    <w:rsid w:val="001638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163889"/>
    <w:rPr>
      <w:b/>
      <w:bCs/>
    </w:rPr>
  </w:style>
  <w:style w:type="character" w:styleId="Enfasicorsivo">
    <w:name w:val="Emphasis"/>
    <w:basedOn w:val="Carpredefinitoparagrafo"/>
    <w:uiPriority w:val="20"/>
    <w:qFormat/>
    <w:rsid w:val="001638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ealmente.it/dittico-della-leggerezza-2-supermaket-a-modern-musical-tragedy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trofontana.it/family-a-modern-musical-comedy/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trofontana.it/" TargetMode="External"/><Relationship Id="rId11" Type="http://schemas.openxmlformats.org/officeDocument/2006/relationships/hyperlink" Target="http://www.platealmente.it/wp-content/uploads/2023/01/TINTINELLI.jpg" TargetMode="External"/><Relationship Id="rId5" Type="http://schemas.openxmlformats.org/officeDocument/2006/relationships/hyperlink" Target="http://www.platealmente.it/family-a-modern-musical-comedy-gusto-cynar/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://www.platealmente.it/wp-content/uploads/2022/12/supermarket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2023-01-27T09:57:00Z</dcterms:created>
  <dcterms:modified xsi:type="dcterms:W3CDTF">2023-01-27T09:58:00Z</dcterms:modified>
</cp:coreProperties>
</file>